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37F0" w14:textId="77777777" w:rsidR="00B4279E" w:rsidRDefault="00000000">
      <w:pPr>
        <w:spacing w:after="2" w:line="252" w:lineRule="auto"/>
        <w:ind w:left="0" w:right="8853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510CFC6" w14:textId="77777777" w:rsidR="00B4279E" w:rsidRDefault="00000000">
      <w:pPr>
        <w:spacing w:after="69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14:paraId="00FFB3C1" w14:textId="77777777" w:rsidR="00B4279E" w:rsidRDefault="00000000">
      <w:pPr>
        <w:spacing w:after="0" w:line="259" w:lineRule="auto"/>
        <w:ind w:left="0" w:firstLine="0"/>
        <w:jc w:val="left"/>
      </w:pPr>
      <w:r>
        <w:rPr>
          <w:i/>
          <w:sz w:val="29"/>
        </w:rPr>
        <w:t xml:space="preserve"> </w:t>
      </w:r>
    </w:p>
    <w:p w14:paraId="6C9F97E7" w14:textId="77777777" w:rsidR="00B4279E" w:rsidRDefault="00000000">
      <w:pPr>
        <w:spacing w:after="210" w:line="267" w:lineRule="auto"/>
        <w:ind w:left="10" w:hanging="10"/>
        <w:jc w:val="center"/>
      </w:pPr>
      <w:r>
        <w:rPr>
          <w:b/>
          <w:sz w:val="24"/>
        </w:rPr>
        <w:t xml:space="preserve">REGULAMIN SPRZEDAŻY SKŁADNIKÓW MAJĄTKOWYCH ZAKŁADU GOSPODARKI KOMUNALNEJ W RUCIANEM -NIDZIE SP. Z O.O. 12-220 RUCIANE – NIDA  </w:t>
      </w:r>
    </w:p>
    <w:p w14:paraId="419359E0" w14:textId="77777777" w:rsidR="00B4279E" w:rsidRDefault="00000000">
      <w:pPr>
        <w:spacing w:after="3" w:line="267" w:lineRule="auto"/>
        <w:ind w:left="10" w:right="190" w:hanging="10"/>
        <w:jc w:val="center"/>
      </w:pPr>
      <w:r>
        <w:rPr>
          <w:b/>
          <w:sz w:val="24"/>
        </w:rPr>
        <w:t xml:space="preserve">§ 1 </w:t>
      </w:r>
    </w:p>
    <w:p w14:paraId="4CEBCD67" w14:textId="77777777" w:rsidR="00B4279E" w:rsidRDefault="00000000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0D33B8E5" w14:textId="77777777" w:rsidR="00B4279E" w:rsidRDefault="00000000">
      <w:pPr>
        <w:pStyle w:val="Nagwek1"/>
        <w:ind w:right="228"/>
      </w:pPr>
      <w:r>
        <w:t xml:space="preserve">Postanowienia ogólne </w:t>
      </w:r>
    </w:p>
    <w:p w14:paraId="1448DFD1" w14:textId="77777777" w:rsidR="00B4279E" w:rsidRDefault="00000000">
      <w:pPr>
        <w:spacing w:after="44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14:paraId="4ABF185C" w14:textId="77777777" w:rsidR="00B4279E" w:rsidRDefault="00000000">
      <w:pPr>
        <w:numPr>
          <w:ilvl w:val="0"/>
          <w:numId w:val="1"/>
        </w:numPr>
        <w:ind w:hanging="360"/>
      </w:pPr>
      <w:r>
        <w:t xml:space="preserve">Niniejszy regulamin określa procedurę sprzedaży składników majątkowych Zakładu Gospodarki Komunalnej w Rucianem -Nidzie Sp. z o.o., zwanego dalej ZGK. </w:t>
      </w:r>
    </w:p>
    <w:p w14:paraId="20166D8C" w14:textId="77777777" w:rsidR="00B4279E" w:rsidRDefault="00000000">
      <w:pPr>
        <w:numPr>
          <w:ilvl w:val="0"/>
          <w:numId w:val="1"/>
        </w:numPr>
        <w:spacing w:after="31"/>
        <w:ind w:hanging="360"/>
      </w:pPr>
      <w:r>
        <w:t xml:space="preserve">Sprzedaż składników majątkowych prowadzić ma do racjonalnego gospodarowania składnikami majątkowymi ZGK, przy czym jej celem jest uzyskanie najkorzystniejszej oferty. </w:t>
      </w:r>
    </w:p>
    <w:p w14:paraId="17754B75" w14:textId="77777777" w:rsidR="00B4279E" w:rsidRDefault="00000000">
      <w:pPr>
        <w:numPr>
          <w:ilvl w:val="0"/>
          <w:numId w:val="1"/>
        </w:numPr>
        <w:ind w:hanging="360"/>
      </w:pPr>
      <w:r>
        <w:t xml:space="preserve">Sprzedaż składników majątkowych ZGK następuje w trybie: </w:t>
      </w:r>
    </w:p>
    <w:p w14:paraId="09DC98CE" w14:textId="77777777" w:rsidR="00B4279E" w:rsidRDefault="00000000">
      <w:pPr>
        <w:numPr>
          <w:ilvl w:val="1"/>
          <w:numId w:val="1"/>
        </w:numPr>
        <w:spacing w:after="31"/>
        <w:ind w:hanging="360"/>
      </w:pPr>
      <w:r>
        <w:t xml:space="preserve">licytacji; </w:t>
      </w:r>
    </w:p>
    <w:p w14:paraId="6EDECD62" w14:textId="77777777" w:rsidR="00B4279E" w:rsidRDefault="00000000">
      <w:pPr>
        <w:numPr>
          <w:ilvl w:val="1"/>
          <w:numId w:val="1"/>
        </w:numPr>
        <w:spacing w:after="31"/>
        <w:ind w:hanging="360"/>
      </w:pPr>
      <w:r>
        <w:t xml:space="preserve">przetargu; </w:t>
      </w:r>
    </w:p>
    <w:p w14:paraId="747A0B6E" w14:textId="77777777" w:rsidR="00B4279E" w:rsidRDefault="00000000">
      <w:pPr>
        <w:numPr>
          <w:ilvl w:val="1"/>
          <w:numId w:val="1"/>
        </w:numPr>
        <w:spacing w:after="31"/>
        <w:ind w:hanging="360"/>
      </w:pPr>
      <w:r>
        <w:t xml:space="preserve">negocjacji; </w:t>
      </w:r>
    </w:p>
    <w:p w14:paraId="09156B48" w14:textId="77777777" w:rsidR="00B4279E" w:rsidRDefault="00000000">
      <w:pPr>
        <w:numPr>
          <w:ilvl w:val="1"/>
          <w:numId w:val="1"/>
        </w:numPr>
        <w:ind w:hanging="360"/>
      </w:pPr>
      <w:r>
        <w:t xml:space="preserve">sprzedaży z wolnej ręki; </w:t>
      </w:r>
    </w:p>
    <w:p w14:paraId="15C1676D" w14:textId="77777777" w:rsidR="00B4279E" w:rsidRDefault="00000000">
      <w:pPr>
        <w:numPr>
          <w:ilvl w:val="0"/>
          <w:numId w:val="1"/>
        </w:numPr>
        <w:ind w:hanging="360"/>
      </w:pPr>
      <w:r>
        <w:t xml:space="preserve">Przed zastosowaniem trybu prowadzącego do sprzedaży składników majątkowych Z G </w:t>
      </w:r>
      <w:proofErr w:type="gramStart"/>
      <w:r>
        <w:t>K ,</w:t>
      </w:r>
      <w:proofErr w:type="gramEnd"/>
      <w:r>
        <w:t xml:space="preserve">  ustala się szacunkową wartość tych składników. </w:t>
      </w:r>
    </w:p>
    <w:p w14:paraId="37A971E7" w14:textId="77777777" w:rsidR="00B4279E" w:rsidRDefault="00000000">
      <w:pPr>
        <w:numPr>
          <w:ilvl w:val="0"/>
          <w:numId w:val="1"/>
        </w:numPr>
        <w:spacing w:after="31"/>
        <w:ind w:hanging="360"/>
      </w:pPr>
      <w:r>
        <w:t xml:space="preserve">Szacunkowa wartość składników majątkowych ZGK ustalana jest poprzez: </w:t>
      </w:r>
    </w:p>
    <w:p w14:paraId="7A837252" w14:textId="77777777" w:rsidR="00B4279E" w:rsidRDefault="00000000">
      <w:pPr>
        <w:numPr>
          <w:ilvl w:val="1"/>
          <w:numId w:val="1"/>
        </w:numPr>
        <w:ind w:hanging="360"/>
      </w:pPr>
      <w:r>
        <w:t xml:space="preserve">pisemną wycenę rzeczoznawcy majątkowego; </w:t>
      </w:r>
    </w:p>
    <w:p w14:paraId="1FC5B7F7" w14:textId="77777777" w:rsidR="00B4279E" w:rsidRDefault="00000000">
      <w:pPr>
        <w:numPr>
          <w:ilvl w:val="1"/>
          <w:numId w:val="1"/>
        </w:numPr>
        <w:ind w:hanging="360"/>
      </w:pPr>
      <w:r>
        <w:t xml:space="preserve">analizę porównawczą cen rynkowych. </w:t>
      </w:r>
    </w:p>
    <w:p w14:paraId="7F2F4216" w14:textId="77777777" w:rsidR="00B4279E" w:rsidRDefault="00000000">
      <w:pPr>
        <w:numPr>
          <w:ilvl w:val="0"/>
          <w:numId w:val="1"/>
        </w:numPr>
        <w:spacing w:after="31"/>
        <w:ind w:hanging="360"/>
      </w:pPr>
      <w:r>
        <w:t>Obowiązek uzyskania pisemnej wyceny rzeczoznawcy majątkowego dotyczy sprzedaży: a)</w:t>
      </w:r>
      <w:r>
        <w:rPr>
          <w:rFonts w:ascii="Arial" w:eastAsia="Arial" w:hAnsi="Arial" w:cs="Arial"/>
        </w:rPr>
        <w:t xml:space="preserve"> </w:t>
      </w:r>
      <w:r>
        <w:t xml:space="preserve">nieruchomości </w:t>
      </w:r>
    </w:p>
    <w:p w14:paraId="53075182" w14:textId="77777777" w:rsidR="00B4279E" w:rsidRDefault="00000000">
      <w:pPr>
        <w:ind w:left="905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składników majątkowych, które w wyniku analizy porównawczej cen rynkowych wyceniono na kwotę przewyższającą 10 000 zł. </w:t>
      </w:r>
    </w:p>
    <w:p w14:paraId="5ACECA75" w14:textId="77777777" w:rsidR="00B4279E" w:rsidRDefault="00000000">
      <w:pPr>
        <w:numPr>
          <w:ilvl w:val="0"/>
          <w:numId w:val="1"/>
        </w:numPr>
        <w:spacing w:after="31"/>
        <w:ind w:hanging="360"/>
      </w:pPr>
      <w:r>
        <w:t xml:space="preserve">Z wyników analizy porównawczej cen rynkowych sporządza się notatkę. Analizy dokonuje osoba wyznaczona przez Prezesa </w:t>
      </w:r>
      <w:proofErr w:type="gramStart"/>
      <w:r>
        <w:t>ZGK .</w:t>
      </w:r>
      <w:proofErr w:type="gramEnd"/>
      <w:r>
        <w:t xml:space="preserve"> </w:t>
      </w:r>
    </w:p>
    <w:p w14:paraId="4A39C95D" w14:textId="77777777" w:rsidR="00B4279E" w:rsidRDefault="00000000">
      <w:pPr>
        <w:numPr>
          <w:ilvl w:val="0"/>
          <w:numId w:val="1"/>
        </w:numPr>
        <w:ind w:hanging="360"/>
      </w:pPr>
      <w:r>
        <w:t xml:space="preserve">Ustalenie szacunkowej wartości składników majątkowych </w:t>
      </w:r>
      <w:proofErr w:type="gramStart"/>
      <w:r>
        <w:t>ZGK  nie</w:t>
      </w:r>
      <w:proofErr w:type="gramEnd"/>
      <w:r>
        <w:t xml:space="preserve"> może prowadzić do zaniżania ich wartości. </w:t>
      </w:r>
    </w:p>
    <w:p w14:paraId="25EECCFA" w14:textId="77777777" w:rsidR="00B4279E" w:rsidRDefault="00000000">
      <w:pPr>
        <w:numPr>
          <w:ilvl w:val="0"/>
          <w:numId w:val="1"/>
        </w:numPr>
        <w:spacing w:after="31"/>
        <w:ind w:hanging="360"/>
      </w:pPr>
      <w:r>
        <w:t xml:space="preserve">Ilekroć w niniejszym Regulaminie jest </w:t>
      </w:r>
      <w:proofErr w:type="gramStart"/>
      <w:r>
        <w:t>mowa  o</w:t>
      </w:r>
      <w:proofErr w:type="gramEnd"/>
      <w:r>
        <w:t xml:space="preserve"> cenie lub wartości – należy przez to </w:t>
      </w:r>
      <w:proofErr w:type="gramStart"/>
      <w:r>
        <w:t>rozumieć  cenę</w:t>
      </w:r>
      <w:proofErr w:type="gramEnd"/>
      <w:r>
        <w:t xml:space="preserve"> lub wartość netto. </w:t>
      </w:r>
    </w:p>
    <w:p w14:paraId="553A64A4" w14:textId="77777777" w:rsidR="00B4279E" w:rsidRDefault="00000000">
      <w:pPr>
        <w:numPr>
          <w:ilvl w:val="0"/>
          <w:numId w:val="1"/>
        </w:numPr>
        <w:spacing w:after="163"/>
        <w:ind w:hanging="360"/>
      </w:pPr>
      <w:r>
        <w:t xml:space="preserve">Koszty zawarcia umów sprzedaży, zwłaszcza koszt aktu notarialnego, ponosi strona kupująca. </w:t>
      </w:r>
    </w:p>
    <w:p w14:paraId="3C33CEE8" w14:textId="77777777" w:rsidR="00B4279E" w:rsidRDefault="00000000">
      <w:pPr>
        <w:pStyle w:val="Nagwek1"/>
        <w:ind w:right="190"/>
      </w:pPr>
      <w:r>
        <w:t xml:space="preserve">§ 2 </w:t>
      </w:r>
    </w:p>
    <w:p w14:paraId="2A956044" w14:textId="77777777" w:rsidR="00B4279E" w:rsidRDefault="00000000">
      <w:pPr>
        <w:spacing w:after="0" w:line="259" w:lineRule="auto"/>
        <w:ind w:left="10" w:right="187" w:hanging="10"/>
        <w:jc w:val="center"/>
      </w:pPr>
      <w:r>
        <w:rPr>
          <w:b/>
          <w:sz w:val="24"/>
        </w:rPr>
        <w:t xml:space="preserve">Sprzedaż nieruchomości </w:t>
      </w:r>
    </w:p>
    <w:p w14:paraId="3F9ADD35" w14:textId="77777777" w:rsidR="00B4279E" w:rsidRDefault="00000000">
      <w:pPr>
        <w:spacing w:after="33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3324FF30" w14:textId="77777777" w:rsidR="00B4279E" w:rsidRDefault="00000000">
      <w:pPr>
        <w:numPr>
          <w:ilvl w:val="0"/>
          <w:numId w:val="2"/>
        </w:numPr>
        <w:spacing w:after="31"/>
        <w:ind w:hanging="360"/>
      </w:pPr>
      <w:r>
        <w:t xml:space="preserve">Zbycie nieruchomości ZGK odbywa się w trybie licytacji lub przetargu. </w:t>
      </w:r>
    </w:p>
    <w:p w14:paraId="2D5EB279" w14:textId="77777777" w:rsidR="00B4279E" w:rsidRDefault="00000000">
      <w:pPr>
        <w:numPr>
          <w:ilvl w:val="0"/>
          <w:numId w:val="2"/>
        </w:numPr>
        <w:ind w:hanging="360"/>
      </w:pPr>
      <w:r>
        <w:t xml:space="preserve">W przetargu lub licytacji, których przedmiotem jest sprzedaż nieruchomości, oferenci obowiązani są wnieść wadium w wysokości określonej w ogłoszeniu, jednak nie mniejszej niż 5% ceny wywoławczej lub ceny minimalnej. </w:t>
      </w:r>
    </w:p>
    <w:p w14:paraId="24F1A439" w14:textId="77777777" w:rsidR="00B4279E" w:rsidRDefault="00000000">
      <w:pPr>
        <w:numPr>
          <w:ilvl w:val="0"/>
          <w:numId w:val="2"/>
        </w:numPr>
        <w:ind w:hanging="360"/>
      </w:pPr>
      <w:r>
        <w:lastRenderedPageBreak/>
        <w:t xml:space="preserve">W przypadku, gdy pomimo dwukrotnego ogłoszenia przetargu lub licytacji, do ZGK nie wpłynie żadna niepodlegająca odrzuceniu oferta, Prezes ZGK może wyrazić zgodę na sprzedaż nieruchomości w formie negocjacji. </w:t>
      </w:r>
    </w:p>
    <w:p w14:paraId="6535F77F" w14:textId="77777777" w:rsidR="00B4279E" w:rsidRDefault="00000000">
      <w:pPr>
        <w:numPr>
          <w:ilvl w:val="0"/>
          <w:numId w:val="2"/>
        </w:numPr>
        <w:spacing w:after="31"/>
        <w:ind w:hanging="360"/>
      </w:pPr>
      <w:r>
        <w:t xml:space="preserve">Po wyborze najkorzystniejszej oferty, w trybach, o których mowa w ust. 1 i 2, zawarcie umowy sprzedaży w formie aktu notarialnego powinno nastąpić w terminie 30 dni od dnia wyboru najkorzystniejszej oferty. </w:t>
      </w:r>
    </w:p>
    <w:p w14:paraId="6264A657" w14:textId="77777777" w:rsidR="00B4279E" w:rsidRDefault="00000000">
      <w:pPr>
        <w:numPr>
          <w:ilvl w:val="0"/>
          <w:numId w:val="2"/>
        </w:numPr>
        <w:ind w:hanging="360"/>
      </w:pPr>
      <w:r>
        <w:t xml:space="preserve">Akt notarialny, o którym mowa w ust. 3 zostanie sporządzony przez notariusza wskazanego przez ZGK. ZGK, na wniosek kupującego, może wyrazić zgodę na zawarcie umowy w formie aktu notarialnego przed innym notariuszem, niż wskazany przez ZGK, o ile nie przedłuży to zawarcia umowy sprzedaży i nie będzie generować po stronie ZGK dodatkowych kosztów. </w:t>
      </w:r>
    </w:p>
    <w:p w14:paraId="4A4E4453" w14:textId="77777777" w:rsidR="00B4279E" w:rsidRDefault="00000000">
      <w:pPr>
        <w:numPr>
          <w:ilvl w:val="0"/>
          <w:numId w:val="2"/>
        </w:numPr>
        <w:spacing w:after="174"/>
        <w:ind w:hanging="360"/>
      </w:pPr>
      <w:r>
        <w:t xml:space="preserve">W zakresie nieuregulowanym w niniejszym §, do sprzedaży nieruchomości stosuje się postanowienia regulujące tryby, w </w:t>
      </w:r>
      <w:proofErr w:type="gramStart"/>
      <w:r>
        <w:t>oparciu</w:t>
      </w:r>
      <w:proofErr w:type="gramEnd"/>
      <w:r>
        <w:t xml:space="preserve"> o które sprzedaż jest dokonywana. </w:t>
      </w:r>
    </w:p>
    <w:p w14:paraId="37A0137F" w14:textId="77777777" w:rsidR="00B4279E" w:rsidRDefault="00000000">
      <w:pPr>
        <w:spacing w:after="3" w:line="267" w:lineRule="auto"/>
        <w:ind w:left="10" w:right="190" w:hanging="10"/>
        <w:jc w:val="center"/>
      </w:pPr>
      <w:r>
        <w:rPr>
          <w:b/>
          <w:sz w:val="24"/>
        </w:rPr>
        <w:t xml:space="preserve">§ 3 </w:t>
      </w:r>
    </w:p>
    <w:p w14:paraId="1318C5D5" w14:textId="77777777" w:rsidR="00B4279E" w:rsidRDefault="00000000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386A35ED" w14:textId="77777777" w:rsidR="00B4279E" w:rsidRDefault="00000000">
      <w:pPr>
        <w:pStyle w:val="Nagwek1"/>
        <w:ind w:right="192"/>
      </w:pPr>
      <w:r>
        <w:t xml:space="preserve">Licytacja </w:t>
      </w:r>
    </w:p>
    <w:p w14:paraId="5DA38BC1" w14:textId="77777777" w:rsidR="00B4279E" w:rsidRDefault="00000000">
      <w:pPr>
        <w:spacing w:after="46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14:paraId="66354FF7" w14:textId="77777777" w:rsidR="00B4279E" w:rsidRDefault="00000000">
      <w:pPr>
        <w:numPr>
          <w:ilvl w:val="0"/>
          <w:numId w:val="3"/>
        </w:numPr>
        <w:ind w:hanging="360"/>
      </w:pPr>
      <w:r>
        <w:t xml:space="preserve">Licytacja jest trybem prowadzącym do zawarcia umowy sprzedaży, polegającym na składaniu przez osoby dopuszczone do licytacji wiążących ofert w formie ustnej, w miejscu i czasie wskazanym w ogłoszeniu o sprzedaży składników majątkowych ZGK, kończącym się wyborem oferty zawierającej najwyższą cenę. </w:t>
      </w:r>
    </w:p>
    <w:p w14:paraId="2649A34E" w14:textId="77777777" w:rsidR="00B4279E" w:rsidRDefault="00000000">
      <w:pPr>
        <w:numPr>
          <w:ilvl w:val="0"/>
          <w:numId w:val="3"/>
        </w:numPr>
        <w:ind w:hanging="360"/>
      </w:pPr>
      <w:r>
        <w:t xml:space="preserve">Licytacja jest obowiązkowym trybem sprzedaży składników majątkowych ZGK w odniesieniu do: </w:t>
      </w:r>
    </w:p>
    <w:p w14:paraId="720AA260" w14:textId="77777777" w:rsidR="00B4279E" w:rsidRDefault="00000000">
      <w:pPr>
        <w:numPr>
          <w:ilvl w:val="1"/>
          <w:numId w:val="3"/>
        </w:numPr>
        <w:spacing w:after="31"/>
        <w:ind w:hanging="360"/>
      </w:pPr>
      <w:r>
        <w:t xml:space="preserve">sprzedaży nieruchomości, o ile nie zastosowano innego trybu, zgodnie z § 2. </w:t>
      </w:r>
    </w:p>
    <w:p w14:paraId="1D04422D" w14:textId="77777777" w:rsidR="00B4279E" w:rsidRDefault="00000000">
      <w:pPr>
        <w:numPr>
          <w:ilvl w:val="1"/>
          <w:numId w:val="3"/>
        </w:numPr>
        <w:ind w:hanging="360"/>
      </w:pPr>
      <w:r>
        <w:t xml:space="preserve">składników majątkowych ZGK, innych niż nieruchomości, o wartości równej lub przewyższającej kwotę 10 000 zł, o ile składniki te nie są zbywane w trybie przetargu. </w:t>
      </w:r>
    </w:p>
    <w:p w14:paraId="476B7138" w14:textId="77777777" w:rsidR="00B4279E" w:rsidRDefault="00000000">
      <w:pPr>
        <w:numPr>
          <w:ilvl w:val="0"/>
          <w:numId w:val="3"/>
        </w:numPr>
        <w:spacing w:after="31"/>
        <w:ind w:hanging="360"/>
      </w:pPr>
      <w:r>
        <w:t xml:space="preserve">Ogłoszenie o licytacji zamieszcza się na stronie internetowej ZGK. </w:t>
      </w:r>
    </w:p>
    <w:p w14:paraId="7FE34602" w14:textId="77777777" w:rsidR="00B4279E" w:rsidRDefault="00000000">
      <w:pPr>
        <w:numPr>
          <w:ilvl w:val="0"/>
          <w:numId w:val="3"/>
        </w:numPr>
        <w:ind w:hanging="360"/>
      </w:pPr>
      <w:r>
        <w:t xml:space="preserve">Ogłoszenie o licytacji może zostać dodatkowo zamieszczone w innych </w:t>
      </w:r>
      <w:proofErr w:type="gramStart"/>
      <w:r>
        <w:t>miejscach,</w:t>
      </w:r>
      <w:proofErr w:type="gramEnd"/>
      <w:r>
        <w:t xml:space="preserve"> niż wskazane w ust. 3, w szczególności: w prasie o zasięgu regionalnym lub ogólnopolskim oraz w sieci Internet. </w:t>
      </w:r>
    </w:p>
    <w:p w14:paraId="4D01C4AB" w14:textId="77777777" w:rsidR="00B4279E" w:rsidRDefault="00000000">
      <w:pPr>
        <w:numPr>
          <w:ilvl w:val="0"/>
          <w:numId w:val="3"/>
        </w:numPr>
        <w:ind w:hanging="360"/>
      </w:pPr>
      <w:r>
        <w:t xml:space="preserve">W Ogłoszeniu o licytacji określa się: </w:t>
      </w:r>
    </w:p>
    <w:p w14:paraId="57E2BD65" w14:textId="77777777" w:rsidR="00B4279E" w:rsidRDefault="00000000">
      <w:pPr>
        <w:numPr>
          <w:ilvl w:val="1"/>
          <w:numId w:val="3"/>
        </w:numPr>
        <w:ind w:hanging="360"/>
      </w:pPr>
      <w:r>
        <w:t xml:space="preserve">Dane identyfikujące sprzedającego </w:t>
      </w:r>
    </w:p>
    <w:p w14:paraId="3088AD66" w14:textId="77777777" w:rsidR="00B4279E" w:rsidRDefault="00000000">
      <w:pPr>
        <w:numPr>
          <w:ilvl w:val="1"/>
          <w:numId w:val="3"/>
        </w:numPr>
        <w:ind w:hanging="360"/>
      </w:pPr>
      <w:r>
        <w:t xml:space="preserve">Dane identyfikujące przedmiot sprzedaży </w:t>
      </w:r>
    </w:p>
    <w:p w14:paraId="0670F681" w14:textId="77777777" w:rsidR="00B4279E" w:rsidRDefault="00000000">
      <w:pPr>
        <w:numPr>
          <w:ilvl w:val="1"/>
          <w:numId w:val="3"/>
        </w:numPr>
        <w:spacing w:after="31"/>
        <w:ind w:hanging="360"/>
      </w:pPr>
      <w:r>
        <w:t xml:space="preserve">Miejsce i termin licytacji </w:t>
      </w:r>
    </w:p>
    <w:p w14:paraId="36AD5B2D" w14:textId="77777777" w:rsidR="00B4279E" w:rsidRDefault="00000000">
      <w:pPr>
        <w:numPr>
          <w:ilvl w:val="1"/>
          <w:numId w:val="3"/>
        </w:numPr>
        <w:ind w:hanging="360"/>
      </w:pPr>
      <w:r>
        <w:t xml:space="preserve">Cenę wywoławczą </w:t>
      </w:r>
    </w:p>
    <w:p w14:paraId="338F9C8C" w14:textId="77777777" w:rsidR="00B4279E" w:rsidRDefault="00000000">
      <w:pPr>
        <w:numPr>
          <w:ilvl w:val="1"/>
          <w:numId w:val="3"/>
        </w:numPr>
        <w:ind w:hanging="360"/>
      </w:pPr>
      <w:r>
        <w:t xml:space="preserve">Minimalną wartość postąpienia </w:t>
      </w:r>
    </w:p>
    <w:p w14:paraId="2775807A" w14:textId="77777777" w:rsidR="00B4279E" w:rsidRDefault="00000000">
      <w:pPr>
        <w:numPr>
          <w:ilvl w:val="1"/>
          <w:numId w:val="3"/>
        </w:numPr>
        <w:ind w:hanging="360"/>
      </w:pPr>
      <w:r>
        <w:t xml:space="preserve">Wartość wadium (o ile przewidziano) wraz z informacją o terminie i sposobie dokonania jego wpłaty, skutku jego niewpłacenia oraz skutku odmowy zawarcia umowy sprzedaży przez osobę, która wniosła wadium i dokonano wyboru jej ofert </w:t>
      </w:r>
    </w:p>
    <w:p w14:paraId="61CE8516" w14:textId="77777777" w:rsidR="00B4279E" w:rsidRDefault="00000000">
      <w:pPr>
        <w:numPr>
          <w:ilvl w:val="1"/>
          <w:numId w:val="3"/>
        </w:numPr>
        <w:spacing w:after="31"/>
        <w:ind w:hanging="360"/>
      </w:pPr>
      <w:r>
        <w:t xml:space="preserve">Informację o terminie i zawarciu umowy sprzedaży </w:t>
      </w:r>
    </w:p>
    <w:p w14:paraId="4AD482BF" w14:textId="77777777" w:rsidR="00B4279E" w:rsidRDefault="00000000">
      <w:pPr>
        <w:numPr>
          <w:ilvl w:val="1"/>
          <w:numId w:val="3"/>
        </w:numPr>
        <w:spacing w:after="31"/>
        <w:ind w:hanging="360"/>
      </w:pPr>
      <w:r>
        <w:t xml:space="preserve">Informację o sposobie i możliwości zapoznania się z niniejszym Regulaminem </w:t>
      </w:r>
    </w:p>
    <w:p w14:paraId="55A8A67D" w14:textId="77777777" w:rsidR="00B4279E" w:rsidRDefault="00000000">
      <w:pPr>
        <w:numPr>
          <w:ilvl w:val="0"/>
          <w:numId w:val="3"/>
        </w:numPr>
        <w:ind w:hanging="360"/>
      </w:pPr>
      <w:r>
        <w:t xml:space="preserve">ZGK wybiera ofertę oferenta, którego oferta zawiera najwyższą cenę. Oferty </w:t>
      </w:r>
      <w:proofErr w:type="gramStart"/>
      <w:r>
        <w:t>składane  są</w:t>
      </w:r>
      <w:proofErr w:type="gramEnd"/>
      <w:r>
        <w:t xml:space="preserve"> bezpośrednio w miejscu i terminie określonym w Ogłoszeniu. </w:t>
      </w:r>
    </w:p>
    <w:p w14:paraId="4207DFBA" w14:textId="77777777" w:rsidR="00B4279E" w:rsidRDefault="00000000">
      <w:pPr>
        <w:numPr>
          <w:ilvl w:val="0"/>
          <w:numId w:val="3"/>
        </w:numPr>
        <w:spacing w:after="39" w:line="252" w:lineRule="auto"/>
        <w:ind w:hanging="360"/>
      </w:pPr>
      <w:r>
        <w:lastRenderedPageBreak/>
        <w:t xml:space="preserve">Wybór oferty następuje w drodze przybicia, jeżeli żaden z oferentów, bezpośrednio po złożeniu oferty najkorzystniejszej, nie składa kontroferty zawierającej wyższą cenę. </w:t>
      </w:r>
    </w:p>
    <w:p w14:paraId="431EC600" w14:textId="77777777" w:rsidR="00B4279E" w:rsidRDefault="00000000">
      <w:pPr>
        <w:numPr>
          <w:ilvl w:val="0"/>
          <w:numId w:val="3"/>
        </w:numPr>
        <w:ind w:hanging="360"/>
      </w:pPr>
      <w:r>
        <w:t xml:space="preserve">ZGK wybiera ofertę oferenta, którego oferta zawiera najwyższą cenę. </w:t>
      </w:r>
    </w:p>
    <w:p w14:paraId="0E9EC944" w14:textId="77777777" w:rsidR="00B4279E" w:rsidRDefault="00000000">
      <w:pPr>
        <w:numPr>
          <w:ilvl w:val="0"/>
          <w:numId w:val="3"/>
        </w:numPr>
        <w:spacing w:after="31"/>
        <w:ind w:hanging="360"/>
      </w:pPr>
      <w:r>
        <w:t xml:space="preserve">Z oferentem, o którym mowa w ust. 8 zawiera się umowę w formie pisemnej. </w:t>
      </w:r>
    </w:p>
    <w:p w14:paraId="7C9BF251" w14:textId="77777777" w:rsidR="00B4279E" w:rsidRDefault="00000000">
      <w:pPr>
        <w:numPr>
          <w:ilvl w:val="0"/>
          <w:numId w:val="3"/>
        </w:numPr>
        <w:spacing w:after="31"/>
        <w:ind w:hanging="360"/>
      </w:pPr>
      <w:r>
        <w:t xml:space="preserve">W przypadku odmowy zawarcia umowy przez oferenta, o którym mowa w ust. 8, licytacja zostaje unieważniona. </w:t>
      </w:r>
    </w:p>
    <w:p w14:paraId="05AC0B9C" w14:textId="77777777" w:rsidR="00B4279E" w:rsidRDefault="00000000">
      <w:pPr>
        <w:numPr>
          <w:ilvl w:val="0"/>
          <w:numId w:val="3"/>
        </w:numPr>
        <w:ind w:hanging="360"/>
      </w:pPr>
      <w:r>
        <w:t xml:space="preserve">Z licytacji sporządza się protokół zawierający opis jej przebiegu. </w:t>
      </w:r>
    </w:p>
    <w:p w14:paraId="34460EA7" w14:textId="77777777" w:rsidR="00B4279E" w:rsidRDefault="00000000">
      <w:pPr>
        <w:numPr>
          <w:ilvl w:val="0"/>
          <w:numId w:val="3"/>
        </w:numPr>
        <w:ind w:hanging="360"/>
      </w:pPr>
      <w:r>
        <w:t xml:space="preserve">Licytację prowadzi Przewodniczący Komisji. </w:t>
      </w:r>
    </w:p>
    <w:p w14:paraId="7EACF23C" w14:textId="77777777" w:rsidR="00B4279E" w:rsidRDefault="00000000">
      <w:pPr>
        <w:numPr>
          <w:ilvl w:val="0"/>
          <w:numId w:val="3"/>
        </w:numPr>
        <w:spacing w:after="0"/>
        <w:ind w:hanging="360"/>
      </w:pPr>
      <w:r>
        <w:t xml:space="preserve">Cena wywoławcza określona w pierwszym ogłoszeniu o licytacji nie może być niższa niż 95% jej wartości rynkowej. W przypadku ponownego postępowania w trybie licytacji na ten sam składnik majątkowy, prowadzonego w związku z niezłożeniem w poprzednim postępowaniu żadnej oferty niepodlegającej odrzuceniu, cena wywoławcza określona w ogłoszeniu nie może być niższa niż 70% wartości rynkowej. </w:t>
      </w:r>
    </w:p>
    <w:p w14:paraId="4BD5D245" w14:textId="77777777" w:rsidR="00B4279E" w:rsidRDefault="00000000">
      <w:pPr>
        <w:spacing w:after="198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64F07F40" w14:textId="77777777" w:rsidR="00B4279E" w:rsidRDefault="00000000">
      <w:pPr>
        <w:spacing w:after="3" w:line="267" w:lineRule="auto"/>
        <w:ind w:left="10" w:right="190" w:hanging="10"/>
        <w:jc w:val="center"/>
      </w:pPr>
      <w:r>
        <w:rPr>
          <w:b/>
          <w:sz w:val="24"/>
        </w:rPr>
        <w:t xml:space="preserve">§ 4 </w:t>
      </w:r>
    </w:p>
    <w:p w14:paraId="794EA073" w14:textId="77777777" w:rsidR="00B4279E" w:rsidRDefault="00000000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586E52B0" w14:textId="77777777" w:rsidR="00B4279E" w:rsidRDefault="00000000">
      <w:pPr>
        <w:pStyle w:val="Nagwek1"/>
        <w:ind w:right="190"/>
      </w:pPr>
      <w:r>
        <w:t xml:space="preserve">Przetarg </w:t>
      </w:r>
    </w:p>
    <w:p w14:paraId="1B670DF8" w14:textId="77777777" w:rsidR="00B4279E" w:rsidRDefault="00000000">
      <w:pPr>
        <w:spacing w:after="33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5B8FA960" w14:textId="77777777" w:rsidR="00B4279E" w:rsidRDefault="00000000">
      <w:pPr>
        <w:numPr>
          <w:ilvl w:val="0"/>
          <w:numId w:val="4"/>
        </w:numPr>
        <w:ind w:hanging="360"/>
      </w:pPr>
      <w:r>
        <w:t xml:space="preserve">Przetarg jest trybem prowadzącym do zawarcia umowy sprzedaży, polegającym na składaniu przez oferentów wiążących ofert w formie pisemnej, w miejscu i czasie wskazanym w ogłoszeniu o sprzedaży składników majątkowych ZGK, kończącym się wyborem oferty zawierającej najwyższą cenę. </w:t>
      </w:r>
    </w:p>
    <w:p w14:paraId="3161B040" w14:textId="77777777" w:rsidR="00B4279E" w:rsidRDefault="00000000">
      <w:pPr>
        <w:numPr>
          <w:ilvl w:val="0"/>
          <w:numId w:val="4"/>
        </w:numPr>
        <w:ind w:hanging="360"/>
      </w:pPr>
      <w:r>
        <w:t xml:space="preserve">Przetarg jest obowiązkowym trybem sprzedaży składników majątkowych ZGK w odniesieniu do: </w:t>
      </w:r>
    </w:p>
    <w:p w14:paraId="0BB36211" w14:textId="77777777" w:rsidR="00B4279E" w:rsidRDefault="00000000">
      <w:pPr>
        <w:numPr>
          <w:ilvl w:val="1"/>
          <w:numId w:val="4"/>
        </w:numPr>
        <w:spacing w:after="31"/>
        <w:ind w:hanging="360"/>
      </w:pPr>
      <w:r>
        <w:t xml:space="preserve">nieruchomości, o ile nie zastosowano innego trybu, zgodnie z § 2. </w:t>
      </w:r>
    </w:p>
    <w:p w14:paraId="7BC5DF58" w14:textId="77777777" w:rsidR="00B4279E" w:rsidRDefault="00000000">
      <w:pPr>
        <w:numPr>
          <w:ilvl w:val="1"/>
          <w:numId w:val="4"/>
        </w:numPr>
        <w:ind w:hanging="360"/>
      </w:pPr>
      <w:r>
        <w:t xml:space="preserve">składników majątkowych ZGK, innych niż nieruchomości, o wartości równej lub przewyższającej kwotę 10 000 zł, o ile składniki te nie są zbywane w trybie licytacji. </w:t>
      </w:r>
    </w:p>
    <w:p w14:paraId="71162382" w14:textId="77777777" w:rsidR="00B4279E" w:rsidRDefault="00000000">
      <w:pPr>
        <w:numPr>
          <w:ilvl w:val="0"/>
          <w:numId w:val="4"/>
        </w:numPr>
        <w:spacing w:after="31"/>
        <w:ind w:hanging="360"/>
      </w:pPr>
      <w:r>
        <w:t xml:space="preserve">Ogłoszenie o przetargu zamieszcza się na stronie internetowej ZGK. </w:t>
      </w:r>
    </w:p>
    <w:p w14:paraId="795D2BD5" w14:textId="77777777" w:rsidR="00B4279E" w:rsidRDefault="00000000">
      <w:pPr>
        <w:numPr>
          <w:ilvl w:val="0"/>
          <w:numId w:val="4"/>
        </w:numPr>
        <w:ind w:hanging="360"/>
      </w:pPr>
      <w:r>
        <w:t xml:space="preserve">Ogłoszenie o przetargu może zostać dodatkowo zamieszczone w innych </w:t>
      </w:r>
      <w:proofErr w:type="gramStart"/>
      <w:r>
        <w:t>miejscach,</w:t>
      </w:r>
      <w:proofErr w:type="gramEnd"/>
      <w:r>
        <w:t xml:space="preserve"> niż wskazane w ust. 3, w szczególności: w prasie o zasięgu regionalnym lub ogólnopolskim oraz w sieci Internet. </w:t>
      </w:r>
    </w:p>
    <w:p w14:paraId="06678318" w14:textId="77777777" w:rsidR="00B4279E" w:rsidRDefault="00000000">
      <w:pPr>
        <w:numPr>
          <w:ilvl w:val="0"/>
          <w:numId w:val="4"/>
        </w:numPr>
        <w:ind w:hanging="360"/>
      </w:pPr>
      <w:r>
        <w:t xml:space="preserve">W Ogłoszeniu o przetargu określa się: </w:t>
      </w:r>
    </w:p>
    <w:p w14:paraId="4C1CD4CF" w14:textId="77777777" w:rsidR="00B4279E" w:rsidRDefault="00000000">
      <w:pPr>
        <w:numPr>
          <w:ilvl w:val="1"/>
          <w:numId w:val="4"/>
        </w:numPr>
        <w:ind w:hanging="360"/>
      </w:pPr>
      <w:r>
        <w:t xml:space="preserve">Dane identyfikujące sprzedającego </w:t>
      </w:r>
    </w:p>
    <w:p w14:paraId="091CDFAC" w14:textId="77777777" w:rsidR="00B4279E" w:rsidRDefault="00000000">
      <w:pPr>
        <w:numPr>
          <w:ilvl w:val="1"/>
          <w:numId w:val="4"/>
        </w:numPr>
        <w:ind w:hanging="360"/>
      </w:pPr>
      <w:r>
        <w:t xml:space="preserve">Dane identyfikujące przedmiot sprzedaży </w:t>
      </w:r>
    </w:p>
    <w:p w14:paraId="33BD6E20" w14:textId="77777777" w:rsidR="00B4279E" w:rsidRDefault="00000000">
      <w:pPr>
        <w:numPr>
          <w:ilvl w:val="1"/>
          <w:numId w:val="4"/>
        </w:numPr>
        <w:spacing w:after="31"/>
        <w:ind w:hanging="360"/>
      </w:pPr>
      <w:r>
        <w:t xml:space="preserve">Sposób, miejsce i termin składania ofert </w:t>
      </w:r>
    </w:p>
    <w:p w14:paraId="053694A6" w14:textId="77777777" w:rsidR="00B4279E" w:rsidRDefault="00000000">
      <w:pPr>
        <w:numPr>
          <w:ilvl w:val="1"/>
          <w:numId w:val="4"/>
        </w:numPr>
        <w:spacing w:after="31"/>
        <w:ind w:hanging="360"/>
      </w:pPr>
      <w:r>
        <w:t xml:space="preserve">Miejsce i termin publicznego otwarcia ofert </w:t>
      </w:r>
    </w:p>
    <w:p w14:paraId="19F161AC" w14:textId="77777777" w:rsidR="00B4279E" w:rsidRDefault="00000000">
      <w:pPr>
        <w:numPr>
          <w:ilvl w:val="1"/>
          <w:numId w:val="4"/>
        </w:numPr>
        <w:ind w:hanging="360"/>
      </w:pPr>
      <w:r>
        <w:t xml:space="preserve">Cenę minimalną </w:t>
      </w:r>
    </w:p>
    <w:p w14:paraId="5C3CD441" w14:textId="77777777" w:rsidR="00B4279E" w:rsidRDefault="00000000">
      <w:pPr>
        <w:numPr>
          <w:ilvl w:val="1"/>
          <w:numId w:val="4"/>
        </w:numPr>
        <w:ind w:hanging="360"/>
      </w:pPr>
      <w:r>
        <w:t xml:space="preserve">Wartość wadium (o ile przewidziano) wraz z informacją o terminie i sposobie dokonania jego wpłaty, skutku jego niewpłacenia oraz skutku odmowy zawarcia umowy sprzedaży przez osobę, która wniosła wadium i dokonano wyboru jej ofert </w:t>
      </w:r>
    </w:p>
    <w:p w14:paraId="24A7BA79" w14:textId="77777777" w:rsidR="00B4279E" w:rsidRDefault="00000000">
      <w:pPr>
        <w:numPr>
          <w:ilvl w:val="1"/>
          <w:numId w:val="4"/>
        </w:numPr>
        <w:spacing w:after="31"/>
        <w:ind w:hanging="360"/>
      </w:pPr>
      <w:r>
        <w:t xml:space="preserve">Informację o sposobie i możliwości zapoznania się z niniejszym Regulaminem </w:t>
      </w:r>
    </w:p>
    <w:p w14:paraId="51A98D45" w14:textId="77777777" w:rsidR="00B4279E" w:rsidRDefault="00000000">
      <w:pPr>
        <w:numPr>
          <w:ilvl w:val="0"/>
          <w:numId w:val="4"/>
        </w:numPr>
        <w:spacing w:after="31"/>
        <w:ind w:hanging="360"/>
      </w:pPr>
      <w:r>
        <w:t xml:space="preserve">Z otwarcia ofert i wyboru najkorzystniejszej oferty sporządza się protokół zawierający opis jej przebiegu. </w:t>
      </w:r>
    </w:p>
    <w:p w14:paraId="709D7DAF" w14:textId="77777777" w:rsidR="00B4279E" w:rsidRDefault="00000000">
      <w:pPr>
        <w:numPr>
          <w:ilvl w:val="0"/>
          <w:numId w:val="4"/>
        </w:numPr>
        <w:spacing w:after="31"/>
        <w:ind w:hanging="360"/>
      </w:pPr>
      <w:r>
        <w:t xml:space="preserve">Przetarg przeprowadza Komisja Przetargowa. </w:t>
      </w:r>
    </w:p>
    <w:p w14:paraId="64EB98CF" w14:textId="77777777" w:rsidR="00B4279E" w:rsidRDefault="00000000">
      <w:pPr>
        <w:numPr>
          <w:ilvl w:val="0"/>
          <w:numId w:val="4"/>
        </w:numPr>
        <w:ind w:hanging="360"/>
      </w:pPr>
      <w:r>
        <w:lastRenderedPageBreak/>
        <w:t xml:space="preserve">ZGK wybiera ofertę oferenta, którego oferta zawiera najwyższą cenę. </w:t>
      </w:r>
    </w:p>
    <w:p w14:paraId="3D522F51" w14:textId="77777777" w:rsidR="00B4279E" w:rsidRDefault="00000000">
      <w:pPr>
        <w:numPr>
          <w:ilvl w:val="0"/>
          <w:numId w:val="4"/>
        </w:numPr>
        <w:spacing w:after="31"/>
        <w:ind w:hanging="360"/>
      </w:pPr>
      <w:r>
        <w:t xml:space="preserve">Z oferentem, o którym mowa w ust. 8 zawiera się umowę w formie pisemnej. </w:t>
      </w:r>
    </w:p>
    <w:p w14:paraId="14EE0268" w14:textId="77777777" w:rsidR="00B4279E" w:rsidRDefault="00000000">
      <w:pPr>
        <w:numPr>
          <w:ilvl w:val="0"/>
          <w:numId w:val="4"/>
        </w:numPr>
        <w:ind w:hanging="360"/>
      </w:pPr>
      <w:r>
        <w:t xml:space="preserve">W przypadku odmowy zawarcia umowy przez oferenta, o którym mowa w ust. 8, ZGK może zawrzeć umowę z oferentem, którego oferta została sklasyfikowana na drugim miejscu. </w:t>
      </w:r>
    </w:p>
    <w:p w14:paraId="09DF0A4E" w14:textId="77777777" w:rsidR="00B4279E" w:rsidRDefault="00000000">
      <w:pPr>
        <w:numPr>
          <w:ilvl w:val="0"/>
          <w:numId w:val="4"/>
        </w:numPr>
        <w:spacing w:after="31"/>
        <w:ind w:hanging="360"/>
      </w:pPr>
      <w:r>
        <w:t xml:space="preserve">O wyniku przetargu ZGK zawiadamia osoby, które złożyły oferty w przetargu. </w:t>
      </w:r>
    </w:p>
    <w:p w14:paraId="4C9B007E" w14:textId="77777777" w:rsidR="00B4279E" w:rsidRDefault="00000000">
      <w:pPr>
        <w:numPr>
          <w:ilvl w:val="0"/>
          <w:numId w:val="4"/>
        </w:numPr>
        <w:spacing w:after="0"/>
        <w:ind w:hanging="360"/>
      </w:pPr>
      <w:r>
        <w:t xml:space="preserve">Cena minimalna określona w pierwszym ogłoszeniu o przetargu nie może być niższa niż 95 % jej wartości rynkowej. W przypadku ponownego postępowania w trybie przetargu na ten sam składnik majątkowy, prowadzonego w związku z niezłożeniem w poprzednim postępowaniu żadnej oferty niepodlegającej odrzuceniu, cena minimalna określona w ogłoszeniu nie może być niższa nić 70% wartości rynkowej. </w:t>
      </w:r>
    </w:p>
    <w:p w14:paraId="716EB76A" w14:textId="77777777" w:rsidR="00B4279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F7F4EF3" w14:textId="77777777" w:rsidR="00B4279E" w:rsidRDefault="00000000">
      <w:pPr>
        <w:spacing w:after="153" w:line="259" w:lineRule="auto"/>
        <w:ind w:left="0" w:firstLine="0"/>
        <w:jc w:val="left"/>
      </w:pPr>
      <w:r>
        <w:t xml:space="preserve"> </w:t>
      </w:r>
    </w:p>
    <w:p w14:paraId="12049A6B" w14:textId="77777777" w:rsidR="00B4279E" w:rsidRDefault="00000000">
      <w:pPr>
        <w:spacing w:after="3" w:line="267" w:lineRule="auto"/>
        <w:ind w:left="10" w:right="190" w:hanging="10"/>
        <w:jc w:val="center"/>
      </w:pPr>
      <w:r>
        <w:rPr>
          <w:b/>
          <w:sz w:val="24"/>
        </w:rPr>
        <w:t xml:space="preserve">§ 5 </w:t>
      </w:r>
    </w:p>
    <w:p w14:paraId="55A4C20D" w14:textId="77777777" w:rsidR="00B4279E" w:rsidRDefault="00000000">
      <w:pPr>
        <w:spacing w:after="18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2CB55BFE" w14:textId="77777777" w:rsidR="00B4279E" w:rsidRDefault="00000000">
      <w:pPr>
        <w:pStyle w:val="Nagwek1"/>
        <w:ind w:right="190"/>
      </w:pPr>
      <w:r>
        <w:t xml:space="preserve">Negocjacje </w:t>
      </w:r>
    </w:p>
    <w:p w14:paraId="4496EEFF" w14:textId="77777777" w:rsidR="00B4279E" w:rsidRDefault="00000000">
      <w:pPr>
        <w:spacing w:after="43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14:paraId="6D5B90AA" w14:textId="77777777" w:rsidR="00B4279E" w:rsidRDefault="00000000">
      <w:pPr>
        <w:numPr>
          <w:ilvl w:val="0"/>
          <w:numId w:val="5"/>
        </w:numPr>
        <w:ind w:hanging="360"/>
      </w:pPr>
      <w:r>
        <w:t xml:space="preserve">Negocjacje są trybem prowadzącym do sprzedaży składników majątkowych ZGK poprzedzonym przesłaniem do co najmniej dwóch podmiotów informacji o zamiarze sprzedaży składnika majątkowego za cenę podaną w informacji. Informację, o której mowa w zdaniu poprzedzającym zamieszcza się także na stronie internetowej ZGK. </w:t>
      </w:r>
    </w:p>
    <w:p w14:paraId="6CC9B667" w14:textId="77777777" w:rsidR="00B4279E" w:rsidRDefault="00000000">
      <w:pPr>
        <w:numPr>
          <w:ilvl w:val="0"/>
          <w:numId w:val="5"/>
        </w:numPr>
        <w:ind w:hanging="360"/>
      </w:pPr>
      <w:r>
        <w:t xml:space="preserve">W odpowiedzi na informację, podmioty zainteresowane nabyciem składników majątkowych składają wstępne oferty cenowe. </w:t>
      </w:r>
    </w:p>
    <w:p w14:paraId="116775F2" w14:textId="77777777" w:rsidR="00B4279E" w:rsidRDefault="00000000">
      <w:pPr>
        <w:numPr>
          <w:ilvl w:val="0"/>
          <w:numId w:val="5"/>
        </w:numPr>
        <w:ind w:hanging="360"/>
      </w:pPr>
      <w:r>
        <w:t xml:space="preserve">ZGK prowadzi negocjacje z podmiotami, które złożyły wstępne oferty cenowe, w wyniku których strony ustalają cenę i inne warunki sprzedaży. Jeżeli wstępne oferty cenowe zostały złożone przez więcej niż 3 podmioty, ZGK może ograniczyć negocjacje wyłącznie do 3 podmiotów, którzy złożyli najwyższe wstępne oferty cenowe. </w:t>
      </w:r>
    </w:p>
    <w:p w14:paraId="49248760" w14:textId="77777777" w:rsidR="00B4279E" w:rsidRDefault="00000000">
      <w:pPr>
        <w:numPr>
          <w:ilvl w:val="0"/>
          <w:numId w:val="5"/>
        </w:numPr>
        <w:ind w:hanging="360"/>
      </w:pPr>
      <w:r>
        <w:t xml:space="preserve">Negocjacje prowadzone są w miejscu i terminie wskazanym przez ZGK, oddzielnie z </w:t>
      </w:r>
      <w:proofErr w:type="gramStart"/>
      <w:r>
        <w:t>każdym  z</w:t>
      </w:r>
      <w:proofErr w:type="gramEnd"/>
      <w:r>
        <w:t xml:space="preserve"> referentów. </w:t>
      </w:r>
    </w:p>
    <w:p w14:paraId="196A4C23" w14:textId="77777777" w:rsidR="00B4279E" w:rsidRDefault="00000000">
      <w:pPr>
        <w:numPr>
          <w:ilvl w:val="0"/>
          <w:numId w:val="5"/>
        </w:numPr>
        <w:spacing w:after="31"/>
        <w:ind w:hanging="360"/>
      </w:pPr>
      <w:r>
        <w:t xml:space="preserve">ZGK wybiera ofertę oferenta, którego oferta zawiera najwyższą cenę. </w:t>
      </w:r>
    </w:p>
    <w:p w14:paraId="1DF7A186" w14:textId="77777777" w:rsidR="00B4279E" w:rsidRDefault="00000000">
      <w:pPr>
        <w:numPr>
          <w:ilvl w:val="0"/>
          <w:numId w:val="5"/>
        </w:numPr>
        <w:spacing w:after="31"/>
        <w:ind w:hanging="360"/>
      </w:pPr>
      <w:r>
        <w:t xml:space="preserve">Z oferentem, o którym mowa w ust. 5 zawiera się umowę w formie pisemnej. </w:t>
      </w:r>
    </w:p>
    <w:p w14:paraId="3FFC5E1B" w14:textId="77777777" w:rsidR="00B4279E" w:rsidRDefault="00000000">
      <w:pPr>
        <w:numPr>
          <w:ilvl w:val="0"/>
          <w:numId w:val="5"/>
        </w:numPr>
        <w:spacing w:after="31"/>
        <w:ind w:hanging="360"/>
      </w:pPr>
      <w:r>
        <w:t xml:space="preserve">Z przebiegu negocjacji sporządza się protokół. </w:t>
      </w:r>
    </w:p>
    <w:p w14:paraId="4FB31623" w14:textId="77777777" w:rsidR="00B4279E" w:rsidRDefault="00000000">
      <w:pPr>
        <w:numPr>
          <w:ilvl w:val="0"/>
          <w:numId w:val="5"/>
        </w:numPr>
        <w:spacing w:after="178"/>
        <w:ind w:hanging="360"/>
      </w:pPr>
      <w:r>
        <w:t xml:space="preserve">Negocjacje przeprowadza osoba wyznaczona przez Prezesa ZGK. </w:t>
      </w:r>
    </w:p>
    <w:p w14:paraId="24651EDF" w14:textId="77777777" w:rsidR="00B4279E" w:rsidRDefault="00000000">
      <w:pPr>
        <w:pStyle w:val="Nagwek1"/>
        <w:ind w:right="190"/>
      </w:pPr>
      <w:r>
        <w:t xml:space="preserve">§ 6 </w:t>
      </w:r>
    </w:p>
    <w:p w14:paraId="565E28E7" w14:textId="77777777" w:rsidR="00B4279E" w:rsidRDefault="00000000">
      <w:pPr>
        <w:spacing w:after="19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7554023A" w14:textId="77777777" w:rsidR="00B4279E" w:rsidRDefault="00000000">
      <w:pPr>
        <w:spacing w:after="0" w:line="259" w:lineRule="auto"/>
        <w:ind w:left="10" w:right="191" w:hanging="10"/>
        <w:jc w:val="center"/>
      </w:pPr>
      <w:r>
        <w:rPr>
          <w:b/>
          <w:sz w:val="24"/>
        </w:rPr>
        <w:t xml:space="preserve">Sprzedaż z wolnej ręki </w:t>
      </w:r>
    </w:p>
    <w:p w14:paraId="32E662E2" w14:textId="77777777" w:rsidR="00B4279E" w:rsidRDefault="00000000">
      <w:pPr>
        <w:spacing w:after="48" w:line="259" w:lineRule="auto"/>
        <w:ind w:left="0" w:firstLine="0"/>
        <w:jc w:val="left"/>
      </w:pPr>
      <w:r>
        <w:rPr>
          <w:b/>
          <w:sz w:val="19"/>
        </w:rPr>
        <w:t xml:space="preserve"> </w:t>
      </w:r>
    </w:p>
    <w:p w14:paraId="4B6C3CA9" w14:textId="77777777" w:rsidR="00B4279E" w:rsidRDefault="00000000">
      <w:pPr>
        <w:numPr>
          <w:ilvl w:val="0"/>
          <w:numId w:val="6"/>
        </w:numPr>
        <w:ind w:hanging="360"/>
      </w:pPr>
      <w:r>
        <w:t xml:space="preserve">Sprzedaż z wolnej ręki jest trybem polegającym na sprzedaży składnika majątkowego ZGK osobie oferującej najwyższą cenę za ten składnik. </w:t>
      </w:r>
    </w:p>
    <w:p w14:paraId="126000F4" w14:textId="77777777" w:rsidR="00B4279E" w:rsidRDefault="00000000">
      <w:pPr>
        <w:numPr>
          <w:ilvl w:val="0"/>
          <w:numId w:val="6"/>
        </w:numPr>
        <w:ind w:hanging="360"/>
      </w:pPr>
      <w:r>
        <w:t xml:space="preserve">Sprzedaż z wolnej ręki może być stosowana jedynie w odniesieniu do składników majątkowych o wartości nieprzekraczającej kwoty 500 zł. </w:t>
      </w:r>
    </w:p>
    <w:p w14:paraId="08115727" w14:textId="77777777" w:rsidR="00B4279E" w:rsidRDefault="00000000">
      <w:pPr>
        <w:numPr>
          <w:ilvl w:val="0"/>
          <w:numId w:val="6"/>
        </w:numPr>
        <w:ind w:hanging="360"/>
      </w:pPr>
      <w:r>
        <w:t xml:space="preserve">Ze sprzedaży w trybie z wolnej ręki sporządza się notatkę. </w:t>
      </w:r>
    </w:p>
    <w:p w14:paraId="1C4923B9" w14:textId="77777777" w:rsidR="00B4279E" w:rsidRDefault="00000000">
      <w:pPr>
        <w:numPr>
          <w:ilvl w:val="0"/>
          <w:numId w:val="6"/>
        </w:numPr>
        <w:spacing w:after="10"/>
        <w:ind w:hanging="360"/>
      </w:pPr>
      <w:r>
        <w:t xml:space="preserve">Sprzedaż z wolnej ręki przeprowadza osoba wyznaczona przez Prezesa ZGK. </w:t>
      </w:r>
    </w:p>
    <w:p w14:paraId="3CEC3EA8" w14:textId="77777777" w:rsidR="00B4279E" w:rsidRDefault="00000000">
      <w:pPr>
        <w:spacing w:after="0" w:line="259" w:lineRule="auto"/>
        <w:ind w:left="0" w:firstLine="0"/>
        <w:jc w:val="left"/>
      </w:pPr>
      <w:r>
        <w:rPr>
          <w:sz w:val="25"/>
        </w:rPr>
        <w:t xml:space="preserve"> </w:t>
      </w:r>
    </w:p>
    <w:p w14:paraId="4E2C93B0" w14:textId="77777777" w:rsidR="00B4279E" w:rsidRDefault="00000000">
      <w:pPr>
        <w:spacing w:after="0" w:line="259" w:lineRule="auto"/>
        <w:ind w:left="10" w:right="53" w:hanging="10"/>
        <w:jc w:val="center"/>
      </w:pPr>
      <w:r>
        <w:rPr>
          <w:b/>
        </w:rPr>
        <w:lastRenderedPageBreak/>
        <w:t xml:space="preserve">§ 7 </w:t>
      </w:r>
    </w:p>
    <w:p w14:paraId="1F2AACEB" w14:textId="77777777" w:rsidR="00B4279E" w:rsidRDefault="00000000">
      <w:pPr>
        <w:spacing w:after="31" w:line="259" w:lineRule="auto"/>
        <w:ind w:left="10" w:right="194" w:hanging="10"/>
        <w:jc w:val="center"/>
      </w:pPr>
      <w:r>
        <w:rPr>
          <w:b/>
        </w:rPr>
        <w:t xml:space="preserve">Komisja </w:t>
      </w:r>
    </w:p>
    <w:p w14:paraId="43386F04" w14:textId="77777777" w:rsidR="00B4279E" w:rsidRDefault="00000000">
      <w:pPr>
        <w:numPr>
          <w:ilvl w:val="0"/>
          <w:numId w:val="7"/>
        </w:numPr>
        <w:ind w:hanging="360"/>
      </w:pPr>
      <w:r>
        <w:t xml:space="preserve">Do sprzedaży składników majątkowych w trybie licytacji lub przetargu powołuje się Komisję. </w:t>
      </w:r>
    </w:p>
    <w:p w14:paraId="6707B668" w14:textId="77777777" w:rsidR="00B4279E" w:rsidRDefault="00000000">
      <w:pPr>
        <w:numPr>
          <w:ilvl w:val="0"/>
          <w:numId w:val="7"/>
        </w:numPr>
        <w:spacing w:after="31"/>
        <w:ind w:hanging="360"/>
      </w:pPr>
      <w:r>
        <w:t xml:space="preserve">Komisja wykonując swoje zadania czuwa nad przestrzeganiem przepisów obowiązującego prawa, przepisów niniejszego regulaminu oraz nad zabezpieczeniem interesu ZGK. </w:t>
      </w:r>
    </w:p>
    <w:p w14:paraId="2DED9856" w14:textId="77777777" w:rsidR="00B4279E" w:rsidRDefault="00000000">
      <w:pPr>
        <w:numPr>
          <w:ilvl w:val="0"/>
          <w:numId w:val="7"/>
        </w:numPr>
        <w:ind w:hanging="360"/>
      </w:pPr>
      <w:r>
        <w:t xml:space="preserve">Komisja w składzie od 3 do 5 osób powoływana jest zarządzeniem Prezesa ZGK. </w:t>
      </w:r>
    </w:p>
    <w:p w14:paraId="0EF9EBF1" w14:textId="77777777" w:rsidR="00B4279E" w:rsidRDefault="00000000">
      <w:pPr>
        <w:numPr>
          <w:ilvl w:val="0"/>
          <w:numId w:val="7"/>
        </w:numPr>
        <w:ind w:hanging="360"/>
      </w:pPr>
      <w:r>
        <w:t xml:space="preserve">W zarządzeniu, o którym mowa w ust. 3 wskazuje się Przewodniczącego Komisji. </w:t>
      </w:r>
      <w:proofErr w:type="gramStart"/>
      <w:r>
        <w:t>Jeżeli  w</w:t>
      </w:r>
      <w:proofErr w:type="gramEnd"/>
      <w:r>
        <w:t xml:space="preserve"> składzie komisji znajduje się Prezes ZGK, pełni on funkcję Przewodniczącego Komisji. </w:t>
      </w:r>
    </w:p>
    <w:p w14:paraId="24DD4815" w14:textId="77777777" w:rsidR="00B4279E" w:rsidRDefault="00000000">
      <w:pPr>
        <w:numPr>
          <w:ilvl w:val="0"/>
          <w:numId w:val="7"/>
        </w:numPr>
        <w:ind w:hanging="360"/>
      </w:pPr>
      <w:r>
        <w:t xml:space="preserve">Przewodniczący Komisji określa zakres czynności każdego z jej członków. </w:t>
      </w:r>
    </w:p>
    <w:p w14:paraId="582304B3" w14:textId="77777777" w:rsidR="00B4279E" w:rsidRDefault="00000000">
      <w:pPr>
        <w:numPr>
          <w:ilvl w:val="0"/>
          <w:numId w:val="7"/>
        </w:numPr>
        <w:ind w:hanging="360"/>
      </w:pPr>
      <w:r>
        <w:t xml:space="preserve">Rozstrzygnięcia Komisji są ostateczne i nie przysługuje od nich odwołanie. </w:t>
      </w:r>
    </w:p>
    <w:sectPr w:rsidR="00B4279E">
      <w:pgSz w:w="11911" w:h="16841"/>
      <w:pgMar w:top="1443" w:right="1407" w:bottom="1873" w:left="16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E06"/>
    <w:multiLevelType w:val="hybridMultilevel"/>
    <w:tmpl w:val="1BC24766"/>
    <w:lvl w:ilvl="0" w:tplc="A6EE69B6">
      <w:start w:val="1"/>
      <w:numFmt w:val="decimal"/>
      <w:lvlText w:val="%1.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8476C4">
      <w:start w:val="1"/>
      <w:numFmt w:val="lowerLetter"/>
      <w:lvlText w:val="%2)"/>
      <w:lvlJc w:val="left"/>
      <w:pPr>
        <w:ind w:left="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9C2EC4">
      <w:start w:val="1"/>
      <w:numFmt w:val="lowerRoman"/>
      <w:lvlText w:val="%3"/>
      <w:lvlJc w:val="left"/>
      <w:pPr>
        <w:ind w:left="1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C9056">
      <w:start w:val="1"/>
      <w:numFmt w:val="decimal"/>
      <w:lvlText w:val="%4"/>
      <w:lvlJc w:val="left"/>
      <w:pPr>
        <w:ind w:left="2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1E86C0">
      <w:start w:val="1"/>
      <w:numFmt w:val="lowerLetter"/>
      <w:lvlText w:val="%5"/>
      <w:lvlJc w:val="left"/>
      <w:pPr>
        <w:ind w:left="3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D665CA">
      <w:start w:val="1"/>
      <w:numFmt w:val="lowerRoman"/>
      <w:lvlText w:val="%6"/>
      <w:lvlJc w:val="left"/>
      <w:pPr>
        <w:ind w:left="3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88266">
      <w:start w:val="1"/>
      <w:numFmt w:val="decimal"/>
      <w:lvlText w:val="%7"/>
      <w:lvlJc w:val="left"/>
      <w:pPr>
        <w:ind w:left="4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2C6BDE">
      <w:start w:val="1"/>
      <w:numFmt w:val="lowerLetter"/>
      <w:lvlText w:val="%8"/>
      <w:lvlJc w:val="left"/>
      <w:pPr>
        <w:ind w:left="5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26378C">
      <w:start w:val="1"/>
      <w:numFmt w:val="lowerRoman"/>
      <w:lvlText w:val="%9"/>
      <w:lvlJc w:val="left"/>
      <w:pPr>
        <w:ind w:left="5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21485"/>
    <w:multiLevelType w:val="hybridMultilevel"/>
    <w:tmpl w:val="BD0CF190"/>
    <w:lvl w:ilvl="0" w:tplc="A1663334">
      <w:start w:val="1"/>
      <w:numFmt w:val="decimal"/>
      <w:lvlText w:val="%1.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726B78">
      <w:start w:val="1"/>
      <w:numFmt w:val="lowerLetter"/>
      <w:lvlText w:val="%2)"/>
      <w:lvlJc w:val="left"/>
      <w:pPr>
        <w:ind w:left="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E5E34">
      <w:start w:val="1"/>
      <w:numFmt w:val="lowerRoman"/>
      <w:lvlText w:val="%3"/>
      <w:lvlJc w:val="left"/>
      <w:pPr>
        <w:ind w:left="1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BE7A0E">
      <w:start w:val="1"/>
      <w:numFmt w:val="decimal"/>
      <w:lvlText w:val="%4"/>
      <w:lvlJc w:val="left"/>
      <w:pPr>
        <w:ind w:left="2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4EE8E0">
      <w:start w:val="1"/>
      <w:numFmt w:val="lowerLetter"/>
      <w:lvlText w:val="%5"/>
      <w:lvlJc w:val="left"/>
      <w:pPr>
        <w:ind w:left="3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8B778">
      <w:start w:val="1"/>
      <w:numFmt w:val="lowerRoman"/>
      <w:lvlText w:val="%6"/>
      <w:lvlJc w:val="left"/>
      <w:pPr>
        <w:ind w:left="3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D2859C">
      <w:start w:val="1"/>
      <w:numFmt w:val="decimal"/>
      <w:lvlText w:val="%7"/>
      <w:lvlJc w:val="left"/>
      <w:pPr>
        <w:ind w:left="4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8D2F2">
      <w:start w:val="1"/>
      <w:numFmt w:val="lowerLetter"/>
      <w:lvlText w:val="%8"/>
      <w:lvlJc w:val="left"/>
      <w:pPr>
        <w:ind w:left="5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B28108">
      <w:start w:val="1"/>
      <w:numFmt w:val="lowerRoman"/>
      <w:lvlText w:val="%9"/>
      <w:lvlJc w:val="left"/>
      <w:pPr>
        <w:ind w:left="5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6C0641"/>
    <w:multiLevelType w:val="hybridMultilevel"/>
    <w:tmpl w:val="528C3590"/>
    <w:lvl w:ilvl="0" w:tplc="1CC293C8">
      <w:start w:val="1"/>
      <w:numFmt w:val="decimal"/>
      <w:lvlText w:val="%1.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E8FD7C">
      <w:start w:val="1"/>
      <w:numFmt w:val="lowerLetter"/>
      <w:lvlText w:val="%2"/>
      <w:lvlJc w:val="left"/>
      <w:pPr>
        <w:ind w:left="1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AB996">
      <w:start w:val="1"/>
      <w:numFmt w:val="lowerRoman"/>
      <w:lvlText w:val="%3"/>
      <w:lvlJc w:val="left"/>
      <w:pPr>
        <w:ind w:left="1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C4A8CE">
      <w:start w:val="1"/>
      <w:numFmt w:val="decimal"/>
      <w:lvlText w:val="%4"/>
      <w:lvlJc w:val="left"/>
      <w:pPr>
        <w:ind w:left="2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E5050">
      <w:start w:val="1"/>
      <w:numFmt w:val="lowerLetter"/>
      <w:lvlText w:val="%5"/>
      <w:lvlJc w:val="left"/>
      <w:pPr>
        <w:ind w:left="3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28230">
      <w:start w:val="1"/>
      <w:numFmt w:val="lowerRoman"/>
      <w:lvlText w:val="%6"/>
      <w:lvlJc w:val="left"/>
      <w:pPr>
        <w:ind w:left="4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2EC7D4">
      <w:start w:val="1"/>
      <w:numFmt w:val="decimal"/>
      <w:lvlText w:val="%7"/>
      <w:lvlJc w:val="left"/>
      <w:pPr>
        <w:ind w:left="4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E9C36">
      <w:start w:val="1"/>
      <w:numFmt w:val="lowerLetter"/>
      <w:lvlText w:val="%8"/>
      <w:lvlJc w:val="left"/>
      <w:pPr>
        <w:ind w:left="5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F4DFA6">
      <w:start w:val="1"/>
      <w:numFmt w:val="lowerRoman"/>
      <w:lvlText w:val="%9"/>
      <w:lvlJc w:val="left"/>
      <w:pPr>
        <w:ind w:left="62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C277B5"/>
    <w:multiLevelType w:val="hybridMultilevel"/>
    <w:tmpl w:val="54BE91EC"/>
    <w:lvl w:ilvl="0" w:tplc="B4CC7B00">
      <w:start w:val="1"/>
      <w:numFmt w:val="decimal"/>
      <w:lvlText w:val="%1.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0A05A">
      <w:start w:val="1"/>
      <w:numFmt w:val="lowerLetter"/>
      <w:lvlText w:val="%2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AE546">
      <w:start w:val="1"/>
      <w:numFmt w:val="lowerRoman"/>
      <w:lvlText w:val="%3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0C25D8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4AEDB4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2CA80A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8FBCE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72E274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484678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0449B"/>
    <w:multiLevelType w:val="hybridMultilevel"/>
    <w:tmpl w:val="7F509BA2"/>
    <w:lvl w:ilvl="0" w:tplc="292C06BE">
      <w:start w:val="1"/>
      <w:numFmt w:val="decimal"/>
      <w:lvlText w:val="%1.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CE696">
      <w:start w:val="1"/>
      <w:numFmt w:val="lowerLetter"/>
      <w:lvlText w:val="%2)"/>
      <w:lvlJc w:val="left"/>
      <w:pPr>
        <w:ind w:left="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E8673E">
      <w:start w:val="1"/>
      <w:numFmt w:val="lowerRoman"/>
      <w:lvlText w:val="%3"/>
      <w:lvlJc w:val="left"/>
      <w:pPr>
        <w:ind w:left="1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C8392">
      <w:start w:val="1"/>
      <w:numFmt w:val="decimal"/>
      <w:lvlText w:val="%4"/>
      <w:lvlJc w:val="left"/>
      <w:pPr>
        <w:ind w:left="2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7CD554">
      <w:start w:val="1"/>
      <w:numFmt w:val="lowerLetter"/>
      <w:lvlText w:val="%5"/>
      <w:lvlJc w:val="left"/>
      <w:pPr>
        <w:ind w:left="3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F66030">
      <w:start w:val="1"/>
      <w:numFmt w:val="lowerRoman"/>
      <w:lvlText w:val="%6"/>
      <w:lvlJc w:val="left"/>
      <w:pPr>
        <w:ind w:left="3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026CA">
      <w:start w:val="1"/>
      <w:numFmt w:val="decimal"/>
      <w:lvlText w:val="%7"/>
      <w:lvlJc w:val="left"/>
      <w:pPr>
        <w:ind w:left="4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084F70">
      <w:start w:val="1"/>
      <w:numFmt w:val="lowerLetter"/>
      <w:lvlText w:val="%8"/>
      <w:lvlJc w:val="left"/>
      <w:pPr>
        <w:ind w:left="5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FE995C">
      <w:start w:val="1"/>
      <w:numFmt w:val="lowerRoman"/>
      <w:lvlText w:val="%9"/>
      <w:lvlJc w:val="left"/>
      <w:pPr>
        <w:ind w:left="5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6D53B1"/>
    <w:multiLevelType w:val="hybridMultilevel"/>
    <w:tmpl w:val="F41448D8"/>
    <w:lvl w:ilvl="0" w:tplc="F1DC0C7C">
      <w:start w:val="1"/>
      <w:numFmt w:val="decimal"/>
      <w:lvlText w:val="%1.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EE676E">
      <w:start w:val="1"/>
      <w:numFmt w:val="lowerLetter"/>
      <w:lvlText w:val="%2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90EFE0">
      <w:start w:val="1"/>
      <w:numFmt w:val="lowerRoman"/>
      <w:lvlText w:val="%3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49E04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964204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3AF040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68C90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1A7426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2E263C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F6055A"/>
    <w:multiLevelType w:val="hybridMultilevel"/>
    <w:tmpl w:val="1CE24EA4"/>
    <w:lvl w:ilvl="0" w:tplc="7A7201C2">
      <w:start w:val="1"/>
      <w:numFmt w:val="decimal"/>
      <w:lvlText w:val="%1."/>
      <w:lvlJc w:val="left"/>
      <w:pPr>
        <w:ind w:left="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05D48">
      <w:start w:val="1"/>
      <w:numFmt w:val="lowerLetter"/>
      <w:lvlText w:val="%2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0433E0">
      <w:start w:val="1"/>
      <w:numFmt w:val="lowerRoman"/>
      <w:lvlText w:val="%3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349818">
      <w:start w:val="1"/>
      <w:numFmt w:val="decimal"/>
      <w:lvlText w:val="%4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1A1914">
      <w:start w:val="1"/>
      <w:numFmt w:val="lowerLetter"/>
      <w:lvlText w:val="%5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6C0148">
      <w:start w:val="1"/>
      <w:numFmt w:val="lowerRoman"/>
      <w:lvlText w:val="%6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DC7D9E">
      <w:start w:val="1"/>
      <w:numFmt w:val="decimal"/>
      <w:lvlText w:val="%7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368E44">
      <w:start w:val="1"/>
      <w:numFmt w:val="lowerLetter"/>
      <w:lvlText w:val="%8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CC13B8">
      <w:start w:val="1"/>
      <w:numFmt w:val="lowerRoman"/>
      <w:lvlText w:val="%9"/>
      <w:lvlJc w:val="left"/>
      <w:pPr>
        <w:ind w:left="6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4711984">
    <w:abstractNumId w:val="1"/>
  </w:num>
  <w:num w:numId="2" w16cid:durableId="312685319">
    <w:abstractNumId w:val="3"/>
  </w:num>
  <w:num w:numId="3" w16cid:durableId="2027439966">
    <w:abstractNumId w:val="0"/>
  </w:num>
  <w:num w:numId="4" w16cid:durableId="805514780">
    <w:abstractNumId w:val="4"/>
  </w:num>
  <w:num w:numId="5" w16cid:durableId="2112507597">
    <w:abstractNumId w:val="5"/>
  </w:num>
  <w:num w:numId="6" w16cid:durableId="1232735198">
    <w:abstractNumId w:val="6"/>
  </w:num>
  <w:num w:numId="7" w16cid:durableId="1833715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79E"/>
    <w:rsid w:val="00566424"/>
    <w:rsid w:val="00771041"/>
    <w:rsid w:val="00B4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7474"/>
  <w15:docId w15:val="{8D47F2D0-A1D1-4EAB-A7EB-F94C666C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6" w:line="256" w:lineRule="auto"/>
      <w:ind w:left="545" w:hanging="37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67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8475</Characters>
  <Application>Microsoft Office Word</Application>
  <DocSecurity>0</DocSecurity>
  <Lines>70</Lines>
  <Paragraphs>19</Paragraphs>
  <ScaleCrop>false</ScaleCrop>
  <Company/>
  <LinksUpToDate>false</LinksUpToDate>
  <CharactersWithSpaces>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Tucholska</dc:creator>
  <cp:keywords/>
  <cp:lastModifiedBy>ZGK Ruciane-Nida</cp:lastModifiedBy>
  <cp:revision>2</cp:revision>
  <dcterms:created xsi:type="dcterms:W3CDTF">2026-02-12T11:38:00Z</dcterms:created>
  <dcterms:modified xsi:type="dcterms:W3CDTF">2026-02-12T11:38:00Z</dcterms:modified>
</cp:coreProperties>
</file>